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19CFCFCC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E5931">
        <w:rPr>
          <w:sz w:val="26"/>
          <w:szCs w:val="26"/>
        </w:rPr>
        <w:t>03.02.2026 № ПОС.03-264/26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6D6EC843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AA3607">
        <w:rPr>
          <w:bCs/>
          <w:color w:val="000000"/>
          <w:sz w:val="26"/>
          <w:szCs w:val="26"/>
          <w:shd w:val="clear" w:color="auto" w:fill="FFFFFF"/>
        </w:rPr>
        <w:t>29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AA3607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124</w:t>
      </w:r>
      <w:r w:rsidR="00AA3607">
        <w:rPr>
          <w:bCs/>
          <w:color w:val="000000"/>
          <w:sz w:val="26"/>
          <w:szCs w:val="26"/>
          <w:shd w:val="clear" w:color="auto" w:fill="FFFFFF"/>
        </w:rPr>
        <w:t>02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54637669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6C287EB" w14:textId="6FE4F9D1" w:rsidR="00CE5931" w:rsidRDefault="00CE5931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E50B0A6" w14:textId="77777777" w:rsidR="00CE5931" w:rsidRDefault="00CE5931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A3607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CE5931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2026-01-28T08:24:00Z</dcterms:created>
  <dcterms:modified xsi:type="dcterms:W3CDTF">2026-02-03T18:32:00Z</dcterms:modified>
</cp:coreProperties>
</file>